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8" w:rsidRPr="00B02058" w:rsidRDefault="00B02058" w:rsidP="00B02058">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w:t>
      </w:r>
      <w:r w:rsidRPr="00B02058">
        <w:rPr>
          <w:rFonts w:ascii="Times New Roman" w:eastAsia="Times New Roman" w:hAnsi="Times New Roman" w:cs="Times New Roman"/>
          <w:lang w:eastAsia="ru-RU"/>
        </w:rPr>
        <w:t xml:space="preserve"> </w:t>
      </w:r>
    </w:p>
    <w:p w:rsidR="00B02058" w:rsidRDefault="00B02058" w:rsidP="00B02058">
      <w:pPr>
        <w:spacing w:after="0" w:line="240" w:lineRule="auto"/>
        <w:jc w:val="right"/>
        <w:rPr>
          <w:rFonts w:ascii="Times New Roman" w:eastAsia="Times New Roman" w:hAnsi="Times New Roman" w:cs="Times New Roman"/>
          <w:lang w:eastAsia="ru-RU"/>
        </w:rPr>
      </w:pPr>
      <w:r w:rsidRPr="00B02058">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документации</w:t>
      </w:r>
      <w:r w:rsidRPr="00B02058">
        <w:rPr>
          <w:rFonts w:ascii="Times New Roman" w:eastAsia="Times New Roman" w:hAnsi="Times New Roman" w:cs="Times New Roman"/>
          <w:lang w:eastAsia="ru-RU"/>
        </w:rPr>
        <w:t xml:space="preserve"> о проведении </w:t>
      </w:r>
      <w:r>
        <w:rPr>
          <w:rFonts w:ascii="Times New Roman" w:eastAsia="Times New Roman" w:hAnsi="Times New Roman" w:cs="Times New Roman"/>
          <w:lang w:eastAsia="ru-RU"/>
        </w:rPr>
        <w:t>аукциона</w:t>
      </w:r>
      <w:r w:rsidRPr="00B02058">
        <w:rPr>
          <w:rFonts w:ascii="Times New Roman" w:eastAsia="Times New Roman" w:hAnsi="Times New Roman" w:cs="Times New Roman"/>
          <w:lang w:eastAsia="ru-RU"/>
        </w:rPr>
        <w:t xml:space="preserve"> в электронной форме</w:t>
      </w:r>
    </w:p>
    <w:p w:rsidR="00B02058" w:rsidRPr="00B02058" w:rsidRDefault="00B02058" w:rsidP="00B02058">
      <w:pPr>
        <w:spacing w:after="0" w:line="240" w:lineRule="auto"/>
        <w:jc w:val="right"/>
        <w:rPr>
          <w:rFonts w:ascii="Times New Roman" w:eastAsia="Times New Roman" w:hAnsi="Times New Roman" w:cs="Times New Roman"/>
          <w:lang w:eastAsia="ru-RU"/>
        </w:rPr>
      </w:pPr>
    </w:p>
    <w:p w:rsidR="00DF4746" w:rsidRPr="00B02058" w:rsidRDefault="00DF4746" w:rsidP="00B02058">
      <w:pPr>
        <w:keepNext/>
        <w:tabs>
          <w:tab w:val="left" w:pos="0"/>
        </w:tabs>
        <w:suppressAutoHyphens/>
        <w:spacing w:after="0" w:line="240" w:lineRule="auto"/>
        <w:jc w:val="right"/>
        <w:outlineLvl w:val="0"/>
        <w:rPr>
          <w:rFonts w:ascii="Times New Roman" w:eastAsia="Times New Roman" w:hAnsi="Times New Roman" w:cs="Times New Roman"/>
          <w:lang w:eastAsia="ru-RU"/>
        </w:rPr>
      </w:pPr>
      <w:r w:rsidRPr="00B02058">
        <w:rPr>
          <w:rFonts w:ascii="Times New Roman" w:eastAsia="Times New Roman" w:hAnsi="Times New Roman" w:cs="Times New Roman"/>
          <w:lang w:val="x-none" w:eastAsia="ru-RU"/>
        </w:rPr>
        <w:t>ПРОЕКТ ДОГОВОРА</w:t>
      </w:r>
    </w:p>
    <w:p w:rsidR="00DF4746" w:rsidRPr="0064673B" w:rsidRDefault="00DF4746" w:rsidP="00DF47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F4746" w:rsidRPr="0064673B" w:rsidRDefault="00DF4746" w:rsidP="00DF4746">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DF4746"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bookmarkStart w:id="0" w:name="_GoBack"/>
      <w:bookmarkEnd w:id="0"/>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   «</w:t>
      </w:r>
      <w:proofErr w:type="gramEnd"/>
      <w:r>
        <w:rPr>
          <w:rFonts w:ascii="Times New Roman" w:eastAsia="Times New Roman" w:hAnsi="Times New Roman" w:cs="Times New Roman"/>
          <w:snapToGrid w:val="0"/>
          <w:sz w:val="24"/>
          <w:szCs w:val="24"/>
          <w:lang w:eastAsia="ru-RU"/>
        </w:rPr>
        <w:t xml:space="preserve"> __ » ______ 2021</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проведенного запроса котировок</w:t>
      </w:r>
      <w:r>
        <w:rPr>
          <w:rFonts w:ascii="Times New Roman" w:eastAsia="Times New Roman" w:hAnsi="Times New Roman" w:cs="Times New Roman"/>
          <w:sz w:val="23"/>
          <w:szCs w:val="23"/>
          <w:lang w:eastAsia="ru-RU"/>
        </w:rPr>
        <w:t xml:space="preserve"> в электронной форме</w:t>
      </w:r>
      <w:r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(извещение № ___________) (протокол _________ №</w:t>
      </w:r>
      <w:r>
        <w:rPr>
          <w:rFonts w:ascii="Times New Roman" w:eastAsia="Times New Roman" w:hAnsi="Times New Roman" w:cs="Times New Roman"/>
          <w:sz w:val="23"/>
          <w:szCs w:val="23"/>
          <w:lang w:val="x-none" w:eastAsia="ru-RU"/>
        </w:rPr>
        <w:t xml:space="preserve"> __ от __.__.202</w:t>
      </w:r>
      <w:r>
        <w:rPr>
          <w:rFonts w:ascii="Times New Roman" w:eastAsia="Times New Roman" w:hAnsi="Times New Roman" w:cs="Times New Roman"/>
          <w:sz w:val="23"/>
          <w:szCs w:val="23"/>
          <w:lang w:eastAsia="ru-RU"/>
        </w:rPr>
        <w:t>1</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1"/>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3"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3"/>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00D27B53">
        <w:rPr>
          <w:rFonts w:ascii="Times New Roman" w:hAnsi="Times New Roman" w:cs="Times New Roman"/>
          <w:sz w:val="23"/>
          <w:szCs w:val="23"/>
        </w:rPr>
        <w:t>. Срок поставки товара: с 01 декабря 2021г. по 30 апреля 2022</w:t>
      </w:r>
      <w:r w:rsidRPr="00617AE3">
        <w:rPr>
          <w:rFonts w:ascii="Times New Roman" w:hAnsi="Times New Roman" w:cs="Times New Roman"/>
          <w:sz w:val="23"/>
          <w:szCs w:val="23"/>
        </w:rPr>
        <w:t>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DF4746">
        <w:rPr>
          <w:rFonts w:ascii="Times New Roman" w:hAnsi="Times New Roman" w:cs="Times New Roman"/>
          <w:sz w:val="23"/>
          <w:szCs w:val="23"/>
        </w:rPr>
        <w:t>________________</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w:t>
      </w:r>
      <w:r w:rsidR="00DF4746">
        <w:rPr>
          <w:rFonts w:ascii="Times New Roman" w:hAnsi="Times New Roman" w:cs="Times New Roman"/>
          <w:sz w:val="23"/>
          <w:szCs w:val="23"/>
        </w:rPr>
        <w:t>_________________________________</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DF4746">
        <w:rPr>
          <w:rFonts w:ascii="Times New Roman" w:hAnsi="Times New Roman" w:cs="Times New Roman"/>
          <w:sz w:val="23"/>
          <w:szCs w:val="23"/>
        </w:rPr>
        <w:t>____</w:t>
      </w:r>
      <w:r w:rsidR="00D2395C">
        <w:rPr>
          <w:rFonts w:ascii="Times New Roman" w:hAnsi="Times New Roman" w:cs="Times New Roman"/>
          <w:sz w:val="23"/>
          <w:szCs w:val="23"/>
        </w:rPr>
        <w:t>% рублей.</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lastRenderedPageBreak/>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Pr="00022B8F">
        <w:rPr>
          <w:rFonts w:ascii="Times New Roman" w:hAnsi="Times New Roman" w:cs="Times New Roman"/>
          <w:sz w:val="23"/>
          <w:szCs w:val="23"/>
        </w:rPr>
        <w:t>30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w:t>
      </w:r>
      <w:r w:rsidRPr="0064673B">
        <w:rPr>
          <w:rFonts w:ascii="Times New Roman" w:eastAsia="Times New Roman" w:hAnsi="Times New Roman" w:cs="Times New Roman"/>
          <w:sz w:val="23"/>
          <w:szCs w:val="23"/>
          <w:lang w:eastAsia="ru-RU"/>
        </w:rPr>
        <w:lastRenderedPageBreak/>
        <w:t>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w:t>
      </w:r>
      <w:r w:rsidR="00D27B53">
        <w:rPr>
          <w:rFonts w:ascii="Times New Roman" w:hAnsi="Times New Roman" w:cs="Times New Roman"/>
          <w:sz w:val="23"/>
          <w:szCs w:val="23"/>
        </w:rPr>
        <w:t>01 декабря 2021г.</w:t>
      </w:r>
      <w:r w:rsidR="00FD20E7" w:rsidRPr="00FD20E7">
        <w:rPr>
          <w:rFonts w:ascii="Times New Roman" w:hAnsi="Times New Roman" w:cs="Times New Roman"/>
          <w:sz w:val="23"/>
          <w:szCs w:val="23"/>
        </w:rPr>
        <w:t xml:space="preserve"> и действует до</w:t>
      </w:r>
      <w:r w:rsidR="00600449">
        <w:rPr>
          <w:rFonts w:ascii="Times New Roman" w:hAnsi="Times New Roman" w:cs="Times New Roman"/>
          <w:sz w:val="23"/>
          <w:szCs w:val="23"/>
        </w:rPr>
        <w:t xml:space="preserve"> </w:t>
      </w:r>
      <w:r w:rsidR="00D27B53">
        <w:rPr>
          <w:rFonts w:ascii="Times New Roman" w:hAnsi="Times New Roman" w:cs="Times New Roman"/>
          <w:sz w:val="23"/>
          <w:szCs w:val="23"/>
        </w:rPr>
        <w:t>31.08.2022</w:t>
      </w:r>
      <w:r w:rsidR="00FD20E7" w:rsidRPr="00FD20E7">
        <w:rPr>
          <w:rFonts w:ascii="Times New Roman" w:hAnsi="Times New Roman" w:cs="Times New Roman"/>
          <w:sz w:val="23"/>
          <w:szCs w:val="23"/>
        </w:rPr>
        <w:t xml:space="preserve">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 xml:space="preserve">ками, </w:t>
      </w:r>
      <w:r w:rsidR="00523EEA">
        <w:rPr>
          <w:rFonts w:ascii="Times New Roman" w:eastAsia="Cambria" w:hAnsi="Times New Roman" w:cs="Times New Roman"/>
          <w:sz w:val="23"/>
          <w:szCs w:val="23"/>
          <w:lang w:eastAsia="ru-RU"/>
        </w:rPr>
        <w:lastRenderedPageBreak/>
        <w:t>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C0A8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D2395C">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xml:space="preserve">. </w:t>
      </w:r>
      <w:r w:rsidR="001A2BCA" w:rsidRPr="000F7E48">
        <w:rPr>
          <w:rFonts w:ascii="Times New Roman" w:eastAsia="Times New Roman" w:hAnsi="Times New Roman" w:cs="Times New Roman"/>
          <w:color w:val="000000"/>
          <w:lang w:eastAsia="ru-RU"/>
        </w:rPr>
        <w:t>Настоящий Договор составлен в форме электронного документа, подписан обеими сторонами с помощью электронной подписи.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r w:rsidRPr="0064673B">
        <w:rPr>
          <w:rFonts w:ascii="Times New Roman" w:eastAsia="Times New Roman" w:hAnsi="Times New Roman" w:cs="Times New Roman"/>
          <w:sz w:val="23"/>
          <w:szCs w:val="23"/>
          <w:lang w:eastAsia="ru-RU"/>
        </w:rPr>
        <w:t>.</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A535F0" w:rsidRPr="00D2395C" w:rsidRDefault="00A535F0" w:rsidP="00A535F0">
            <w:pPr>
              <w:spacing w:after="0" w:line="240" w:lineRule="auto"/>
              <w:ind w:right="306"/>
              <w:rPr>
                <w:rFonts w:ascii="Times New Roman" w:eastAsia="Times New Roman" w:hAnsi="Times New Roman" w:cs="Times New Roman"/>
                <w:sz w:val="23"/>
                <w:szCs w:val="23"/>
                <w:lang w:val="en-US"/>
              </w:rPr>
            </w:pPr>
          </w:p>
          <w:p w:rsidR="00D2395C" w:rsidRPr="00D2395C" w:rsidRDefault="00D2395C" w:rsidP="00A535F0">
            <w:pPr>
              <w:spacing w:after="0" w:line="240" w:lineRule="auto"/>
              <w:ind w:right="306"/>
              <w:rPr>
                <w:rFonts w:ascii="Times New Roman" w:eastAsia="Times New Roman" w:hAnsi="Times New Roman" w:cs="Times New Roman"/>
                <w:sz w:val="23"/>
                <w:szCs w:val="23"/>
                <w:lang w:val="en-US"/>
              </w:rPr>
            </w:pPr>
          </w:p>
          <w:p w:rsidR="00D2395C" w:rsidRPr="00D2395C" w:rsidRDefault="00D2395C" w:rsidP="00A535F0">
            <w:pPr>
              <w:spacing w:after="0" w:line="240" w:lineRule="auto"/>
              <w:ind w:right="306"/>
              <w:rPr>
                <w:rFonts w:ascii="Times New Roman" w:eastAsia="Times New Roman" w:hAnsi="Times New Roman" w:cs="Times New Roman"/>
                <w:sz w:val="23"/>
                <w:szCs w:val="23"/>
                <w:lang w:val="en-US"/>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sidR="00DF4746">
              <w:rPr>
                <w:rFonts w:ascii="Times New Roman" w:eastAsia="Times New Roman" w:hAnsi="Times New Roman" w:cs="Times New Roman"/>
                <w:sz w:val="23"/>
                <w:szCs w:val="23"/>
              </w:rPr>
              <w:t xml:space="preserve">                             </w:t>
            </w:r>
            <w:r w:rsidR="00DF4746" w:rsidRPr="00D2395C">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w:t>
            </w:r>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hyperlink r:id="rId5" w:history="1">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hyperlink>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A535F0"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A535F0" w:rsidRPr="00DA796B">
        <w:rPr>
          <w:rFonts w:ascii="Times New Roman" w:eastAsia="Calibri" w:hAnsi="Times New Roman" w:cs="Times New Roman"/>
          <w:sz w:val="23"/>
          <w:szCs w:val="23"/>
        </w:rPr>
        <w:t>__________</w:t>
      </w:r>
      <w:r w:rsidRPr="00DA796B">
        <w:rPr>
          <w:rFonts w:ascii="Times New Roman" w:eastAsia="Calibri" w:hAnsi="Times New Roman" w:cs="Times New Roman"/>
          <w:sz w:val="23"/>
          <w:szCs w:val="23"/>
        </w:rPr>
        <w:t xml:space="preserve">от         </w:t>
      </w:r>
      <w:r w:rsidRPr="00DA796B">
        <w:rPr>
          <w:rFonts w:ascii="Times New Roman" w:eastAsia="Calibri" w:hAnsi="Times New Roman" w:cs="Times New Roman"/>
          <w:sz w:val="23"/>
          <w:szCs w:val="23"/>
          <w:u w:val="single"/>
        </w:rPr>
        <w:t>20</w:t>
      </w:r>
      <w:r w:rsidR="00E7233A">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u w:val="single"/>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27B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27B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13</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Pr="00E7233A" w:rsidRDefault="00E7233A" w:rsidP="00E7233A">
      <w:pPr>
        <w:spacing w:after="0" w:line="240" w:lineRule="auto"/>
        <w:jc w:val="both"/>
        <w:rPr>
          <w:rFonts w:ascii="Times New Roman" w:eastAsia="Times New Roman" w:hAnsi="Times New Roman" w:cs="Times New Roman"/>
          <w:sz w:val="24"/>
          <w:szCs w:val="20"/>
          <w:lang w:eastAsia="ru-RU"/>
        </w:rPr>
      </w:pPr>
      <w:r w:rsidRPr="00E7233A">
        <w:rPr>
          <w:rFonts w:ascii="Times New Roman" w:eastAsia="Times New Roman" w:hAnsi="Times New Roman" w:cs="Times New Roman"/>
          <w:sz w:val="24"/>
          <w:szCs w:val="20"/>
          <w:lang w:eastAsia="ru-RU"/>
        </w:rPr>
        <w:t xml:space="preserve">ИТОГО: </w:t>
      </w:r>
      <w:proofErr w:type="gramStart"/>
      <w:r w:rsidRPr="00E7233A">
        <w:rPr>
          <w:rFonts w:ascii="Times New Roman" w:eastAsia="Times New Roman" w:hAnsi="Times New Roman" w:cs="Times New Roman"/>
          <w:sz w:val="24"/>
          <w:szCs w:val="20"/>
          <w:lang w:eastAsia="ru-RU"/>
        </w:rPr>
        <w:t>цена  договора</w:t>
      </w:r>
      <w:proofErr w:type="gramEnd"/>
      <w:r w:rsidRPr="00E7233A">
        <w:rPr>
          <w:rFonts w:ascii="Times New Roman" w:eastAsia="Times New Roman" w:hAnsi="Times New Roman" w:cs="Times New Roman"/>
          <w:sz w:val="24"/>
          <w:szCs w:val="20"/>
          <w:lang w:eastAsia="ru-RU"/>
        </w:rPr>
        <w:t xml:space="preserve"> составляет: _____ (указать значение цифрами и прописью) рублей, с учетом НДС в размере _________ рублей.</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 xml:space="preserve">_______________ /Н.Г. </w:t>
            </w:r>
            <w:proofErr w:type="spellStart"/>
            <w:r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AD09F8" w:rsidRDefault="00AD09F8" w:rsidP="00824B1F">
      <w:pPr>
        <w:spacing w:after="0" w:line="240" w:lineRule="auto"/>
        <w:jc w:val="right"/>
        <w:rPr>
          <w:rFonts w:ascii="Times New Roman" w:eastAsia="Calibri" w:hAnsi="Times New Roman" w:cs="Times New Roman"/>
          <w:sz w:val="23"/>
          <w:szCs w:val="23"/>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2</w:t>
      </w:r>
    </w:p>
    <w:p w:rsidR="00824B1F" w:rsidRPr="00DA796B" w:rsidRDefault="00824B1F" w:rsidP="00824B1F">
      <w:pPr>
        <w:spacing w:after="0" w:line="240" w:lineRule="auto"/>
        <w:ind w:left="4248" w:firstLine="708"/>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DA796B">
        <w:rPr>
          <w:rFonts w:ascii="Times New Roman" w:eastAsia="Calibri" w:hAnsi="Times New Roman" w:cs="Times New Roman"/>
          <w:sz w:val="23"/>
          <w:szCs w:val="23"/>
        </w:rPr>
        <w:t xml:space="preserve">от </w:t>
      </w:r>
      <w:proofErr w:type="gramStart"/>
      <w:r w:rsidR="00DA796B">
        <w:rPr>
          <w:rFonts w:ascii="Times New Roman" w:eastAsia="Calibri" w:hAnsi="Times New Roman" w:cs="Times New Roman"/>
          <w:sz w:val="23"/>
          <w:szCs w:val="23"/>
        </w:rPr>
        <w:t xml:space="preserve">«  </w:t>
      </w:r>
      <w:proofErr w:type="gramEnd"/>
      <w:r w:rsidR="00DA796B">
        <w:rPr>
          <w:rFonts w:ascii="Times New Roman" w:eastAsia="Calibri" w:hAnsi="Times New Roman" w:cs="Times New Roman"/>
          <w:sz w:val="23"/>
          <w:szCs w:val="23"/>
        </w:rPr>
        <w:t xml:space="preserve">   »                     </w:t>
      </w:r>
      <w:r w:rsidRPr="00DA796B">
        <w:rPr>
          <w:rFonts w:ascii="Times New Roman" w:eastAsia="Calibri" w:hAnsi="Times New Roman" w:cs="Times New Roman"/>
          <w:sz w:val="23"/>
          <w:szCs w:val="23"/>
        </w:rPr>
        <w:t>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200" w:line="276" w:lineRule="auto"/>
        <w:jc w:val="center"/>
        <w:rPr>
          <w:rFonts w:ascii="Times New Roman" w:eastAsia="Calibri" w:hAnsi="Times New Roman" w:cs="Times New Roman"/>
          <w:b/>
          <w:sz w:val="24"/>
          <w:szCs w:val="24"/>
        </w:rPr>
      </w:pPr>
      <w:r w:rsidRPr="00E7233A">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п/п</w:t>
            </w: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xml:space="preserve">Город, район </w:t>
            </w: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Адрес АЗС</w:t>
            </w: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bl>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276" w:lineRule="auto"/>
        <w:jc w:val="center"/>
        <w:rPr>
          <w:rFonts w:ascii="Times New Roman" w:eastAsia="Calibri" w:hAnsi="Times New Roman" w:cs="Times New Roman"/>
          <w:sz w:val="24"/>
          <w:szCs w:val="24"/>
          <w:highlight w:val="yellow"/>
        </w:rPr>
      </w:pP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r w:rsidRPr="00E7233A">
        <w:rPr>
          <w:rFonts w:ascii="Times New Roman" w:eastAsia="Times New Roman" w:hAnsi="Times New Roman" w:cs="Times New Roman"/>
          <w:b/>
          <w:sz w:val="20"/>
          <w:szCs w:val="24"/>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Поставщик</w:t>
            </w:r>
            <w:r w:rsidRPr="00E7233A" w:rsidDel="00C279CF">
              <w:rPr>
                <w:rFonts w:ascii="Times New Roman" w:eastAsia="Times New Roman" w:hAnsi="Times New Roman" w:cs="Times New Roman"/>
                <w:b/>
                <w:sz w:val="20"/>
                <w:szCs w:val="20"/>
                <w:lang w:eastAsia="ru-RU"/>
              </w:rPr>
              <w:t xml:space="preserve"> </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Заказчик</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/__________ /</w:t>
            </w: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r>
    </w:tbl>
    <w:p w:rsidR="00824B1F" w:rsidRDefault="00824B1F"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AD09F8" w:rsidRDefault="00AD09F8" w:rsidP="00824B1F">
      <w:pPr>
        <w:spacing w:after="0" w:line="240" w:lineRule="auto"/>
        <w:rPr>
          <w:rFonts w:ascii="Times New Roman" w:eastAsia="Times New Roman" w:hAnsi="Times New Roman" w:cs="Times New Roman"/>
          <w:sz w:val="24"/>
          <w:szCs w:val="24"/>
          <w:highlight w:val="yellow"/>
          <w:lang w:eastAsia="ru-RU"/>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t>Приложение № 3</w:t>
      </w:r>
    </w:p>
    <w:p w:rsidR="00824B1F" w:rsidRPr="00DA796B" w:rsidRDefault="00824B1F" w:rsidP="00824B1F">
      <w:pPr>
        <w:spacing w:after="0" w:line="240" w:lineRule="auto"/>
        <w:ind w:left="5387"/>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от </w:t>
      </w:r>
      <w:proofErr w:type="gramStart"/>
      <w:r w:rsidRPr="00DA796B">
        <w:rPr>
          <w:rFonts w:ascii="Times New Roman" w:eastAsia="Calibri" w:hAnsi="Times New Roman" w:cs="Times New Roman"/>
          <w:sz w:val="23"/>
          <w:szCs w:val="23"/>
        </w:rPr>
        <w:t xml:space="preserve">   «</w:t>
      </w:r>
      <w:proofErr w:type="gramEnd"/>
      <w:r w:rsidRPr="00DA796B">
        <w:rPr>
          <w:rFonts w:ascii="Times New Roman" w:eastAsia="Calibri" w:hAnsi="Times New Roman" w:cs="Times New Roman"/>
          <w:sz w:val="23"/>
          <w:szCs w:val="23"/>
        </w:rPr>
        <w:t xml:space="preserve">     »                        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Pr="00E7233A">
        <w:rPr>
          <w:rFonts w:ascii="Times New Roman" w:eastAsia="Times New Roman" w:hAnsi="Times New Roman" w:cs="Times New Roman"/>
          <w:b/>
          <w:lang w:eastAsia="ru-RU"/>
        </w:rPr>
        <w:t>______________________________________</w:t>
      </w:r>
      <w:r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E7233A">
        <w:rPr>
          <w:rFonts w:ascii="Times New Roman" w:eastAsia="Times New Roman" w:hAnsi="Times New Roman" w:cs="Times New Roman"/>
          <w:b/>
          <w:color w:val="000000"/>
          <w:sz w:val="24"/>
          <w:szCs w:val="24"/>
          <w:lang w:eastAsia="ru-RU"/>
        </w:rPr>
        <w:t>________________________</w:t>
      </w:r>
      <w:r w:rsidRPr="00E7233A">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E7233A">
        <w:rPr>
          <w:rFonts w:ascii="Times New Roman" w:eastAsia="Times New Roman" w:hAnsi="Times New Roman" w:cs="Times New Roman"/>
          <w:b/>
          <w:color w:val="000000"/>
          <w:sz w:val="24"/>
          <w:szCs w:val="16"/>
          <w:lang w:eastAsia="ru-RU"/>
        </w:rPr>
        <w:t>Товаров  с</w:t>
      </w:r>
      <w:proofErr w:type="gramEnd"/>
      <w:r w:rsidRPr="00E7233A">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661"/>
        <w:gridCol w:w="2433"/>
        <w:gridCol w:w="2396"/>
      </w:tblGrid>
      <w:tr w:rsidR="00E7233A" w:rsidRPr="00E7233A" w:rsidTr="00424290">
        <w:trPr>
          <w:trHeight w:val="271"/>
        </w:trPr>
        <w:tc>
          <w:tcPr>
            <w:tcW w:w="1725"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roofErr w:type="gramStart"/>
            <w:r w:rsidRPr="00E7233A">
              <w:rPr>
                <w:rFonts w:ascii="Times New Roman" w:eastAsia="Times New Roman" w:hAnsi="Times New Roman" w:cs="Times New Roman"/>
                <w:b/>
                <w:color w:val="000000"/>
                <w:sz w:val="18"/>
                <w:szCs w:val="18"/>
                <w:lang w:eastAsia="ru-RU"/>
              </w:rPr>
              <w:t>Наименование  Товаров</w:t>
            </w:r>
            <w:proofErr w:type="gramEnd"/>
          </w:p>
        </w:tc>
        <w:tc>
          <w:tcPr>
            <w:tcW w:w="570"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424290">
        <w:trPr>
          <w:trHeight w:val="556"/>
        </w:trPr>
        <w:tc>
          <w:tcPr>
            <w:tcW w:w="1725"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424290">
        <w:trPr>
          <w:trHeight w:val="742"/>
        </w:trPr>
        <w:tc>
          <w:tcPr>
            <w:tcW w:w="1725"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343"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xml:space="preserve">. </w:t>
            </w:r>
            <w:proofErr w:type="gramStart"/>
            <w:r w:rsidRPr="00E7233A">
              <w:rPr>
                <w:rFonts w:ascii="Times New Roman" w:eastAsia="Times New Roman" w:hAnsi="Times New Roman" w:cs="Times New Roman"/>
                <w:b/>
                <w:color w:val="000000"/>
                <w:sz w:val="18"/>
                <w:szCs w:val="18"/>
                <w:lang w:eastAsia="ru-RU"/>
              </w:rPr>
              <w:t>времени )</w:t>
            </w:r>
            <w:proofErr w:type="gramEnd"/>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_____________________________________________________________________________________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Pr="00E7233A">
              <w:rPr>
                <w:rFonts w:ascii="Times New Roman" w:eastAsia="Times New Roman" w:hAnsi="Times New Roman" w:cs="Times New Roman"/>
                <w:color w:val="000000"/>
                <w:sz w:val="24"/>
                <w:szCs w:val="24"/>
                <w:lang w:eastAsia="ru-RU"/>
              </w:rPr>
              <w:t>______</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                  от                20__г.</w:t>
      </w: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Pr="00E7233A">
        <w:rPr>
          <w:rFonts w:ascii="Times New Roman" w:eastAsia="Arial Unicode MS" w:hAnsi="Times New Roman" w:cs="Times New Roman"/>
          <w:color w:val="000000"/>
          <w:sz w:val="24"/>
          <w:szCs w:val="24"/>
          <w:lang w:eastAsia="ru-RU"/>
        </w:rPr>
        <w:t>М</w:t>
      </w:r>
      <w:r w:rsidRPr="00E7233A">
        <w:rPr>
          <w:rFonts w:ascii="Times New Roman" w:eastAsia="Arial Unicode MS" w:hAnsi="Times New Roman" w:cs="Times New Roman"/>
          <w:color w:val="000000"/>
          <w:sz w:val="24"/>
          <w:szCs w:val="24"/>
          <w:lang w:val="x-none" w:eastAsia="ru-RU"/>
        </w:rPr>
        <w:t>АО</w:t>
      </w:r>
      <w:r w:rsidRPr="00E7233A">
        <w:rPr>
          <w:rFonts w:ascii="Times New Roman" w:eastAsia="Arial Unicode MS" w:hAnsi="Times New Roman" w:cs="Times New Roman"/>
          <w:color w:val="000000"/>
          <w:sz w:val="24"/>
          <w:szCs w:val="24"/>
          <w:lang w:eastAsia="ru-RU"/>
        </w:rPr>
        <w:t>У</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Култаевская средняя школа</w:t>
      </w:r>
      <w:r w:rsidRPr="00E7233A">
        <w:rPr>
          <w:rFonts w:ascii="Times New Roman" w:eastAsia="Arial Unicode MS" w:hAnsi="Times New Roman" w:cs="Times New Roman"/>
          <w:color w:val="000000"/>
          <w:sz w:val="24"/>
          <w:szCs w:val="24"/>
          <w:lang w:val="x-none" w:eastAsia="ru-RU"/>
        </w:rPr>
        <w:t>», именуемое в дальнейшем «</w:t>
      </w:r>
      <w:r w:rsidRPr="00E7233A">
        <w:rPr>
          <w:rFonts w:ascii="Times New Roman" w:eastAsia="Arial Unicode MS" w:hAnsi="Times New Roman" w:cs="Times New Roman"/>
          <w:color w:val="000000"/>
          <w:sz w:val="24"/>
          <w:szCs w:val="24"/>
          <w:lang w:eastAsia="ru-RU"/>
        </w:rPr>
        <w:t>Заказчик</w:t>
      </w:r>
      <w:r w:rsidRPr="00E7233A">
        <w:rPr>
          <w:rFonts w:ascii="Times New Roman" w:eastAsia="Arial Unicode MS" w:hAnsi="Times New Roman" w:cs="Times New Roman"/>
          <w:color w:val="000000"/>
          <w:sz w:val="24"/>
          <w:szCs w:val="24"/>
          <w:lang w:val="x-none" w:eastAsia="ru-RU"/>
        </w:rPr>
        <w:t>», в лице</w:t>
      </w:r>
      <w:r w:rsidRPr="00E7233A">
        <w:rPr>
          <w:rFonts w:ascii="Times New Roman" w:eastAsia="Arial Unicode MS" w:hAnsi="Times New Roman" w:cs="Times New Roman"/>
          <w:color w:val="000000"/>
          <w:sz w:val="24"/>
          <w:szCs w:val="24"/>
          <w:lang w:eastAsia="ru-RU"/>
        </w:rPr>
        <w:t xml:space="preserve"> директора </w:t>
      </w:r>
      <w:proofErr w:type="spellStart"/>
      <w:r w:rsidRPr="00E7233A">
        <w:rPr>
          <w:rFonts w:ascii="Times New Roman" w:eastAsia="Arial Unicode MS" w:hAnsi="Times New Roman" w:cs="Times New Roman"/>
          <w:color w:val="000000"/>
          <w:sz w:val="24"/>
          <w:szCs w:val="24"/>
          <w:lang w:eastAsia="ru-RU"/>
        </w:rPr>
        <w:t>Цвикилевич</w:t>
      </w:r>
      <w:proofErr w:type="spellEnd"/>
      <w:r w:rsidRPr="00E7233A">
        <w:rPr>
          <w:rFonts w:ascii="Times New Roman" w:eastAsia="Arial Unicode MS" w:hAnsi="Times New Roman" w:cs="Times New Roman"/>
          <w:color w:val="000000"/>
          <w:sz w:val="24"/>
          <w:szCs w:val="24"/>
          <w:lang w:eastAsia="ru-RU"/>
        </w:rPr>
        <w:t xml:space="preserve"> Наталии Геннадьевны</w:t>
      </w:r>
      <w:r w:rsidRPr="00E7233A">
        <w:rPr>
          <w:rFonts w:ascii="Times New Roman" w:eastAsia="Times New Roman" w:hAnsi="Times New Roman" w:cs="Times New Roman"/>
          <w:sz w:val="24"/>
          <w:szCs w:val="24"/>
          <w:lang w:eastAsia="ru-RU"/>
        </w:rPr>
        <w:t xml:space="preserve">, действующего на основании Устава </w:t>
      </w:r>
      <w:r w:rsidRPr="00E7233A">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Pr="00E7233A">
        <w:rPr>
          <w:rFonts w:ascii="Times New Roman" w:eastAsia="Arial Unicode MS" w:hAnsi="Times New Roman" w:cs="Times New Roman"/>
          <w:color w:val="000000"/>
          <w:sz w:val="24"/>
          <w:szCs w:val="24"/>
          <w:lang w:eastAsia="ru-RU"/>
        </w:rPr>
        <w:t>Заказчика</w:t>
      </w:r>
      <w:r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r w:rsidRPr="00E7233A">
        <w:rPr>
          <w:rFonts w:ascii="Times New Roman" w:eastAsia="Arial Unicode MS" w:hAnsi="Times New Roman" w:cs="Times New Roman"/>
          <w:color w:val="000000"/>
          <w:sz w:val="24"/>
          <w:szCs w:val="24"/>
          <w:lang w:eastAsia="ru-RU"/>
        </w:rPr>
        <w:t>топливные</w:t>
      </w:r>
      <w:r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3119"/>
        <w:gridCol w:w="2126"/>
        <w:gridCol w:w="1985"/>
      </w:tblGrid>
      <w:tr w:rsidR="00E7233A" w:rsidRPr="00E7233A" w:rsidTr="00E7233A">
        <w:tc>
          <w:tcPr>
            <w:tcW w:w="590"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2132"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Номер карты</w:t>
            </w:r>
          </w:p>
        </w:tc>
        <w:tc>
          <w:tcPr>
            <w:tcW w:w="3119"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126"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1</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E7233A">
              <w:rPr>
                <w:rFonts w:ascii="Times New Roman" w:eastAsia="Arial Unicode MS" w:hAnsi="Times New Roman" w:cs="Times New Roman"/>
                <w:color w:val="000000"/>
                <w:sz w:val="24"/>
                <w:szCs w:val="24"/>
                <w:lang w:eastAsia="ru-RU"/>
              </w:rPr>
              <w:t>….</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Pr="00E7233A">
        <w:rPr>
          <w:rFonts w:ascii="Times New Roman" w:eastAsia="Arial Unicode MS" w:hAnsi="Times New Roman" w:cs="Times New Roman"/>
          <w:color w:val="000000"/>
          <w:sz w:val="24"/>
          <w:szCs w:val="24"/>
          <w:u w:val="single"/>
          <w:lang w:eastAsia="ru-RU"/>
        </w:rPr>
        <w:t>___</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w:t>
      </w:r>
      <w:proofErr w:type="gramStart"/>
      <w:r w:rsidRPr="00E7233A">
        <w:rPr>
          <w:rFonts w:ascii="Times New Roman" w:eastAsia="Arial Unicode MS" w:hAnsi="Times New Roman" w:cs="Times New Roman"/>
          <w:color w:val="000000"/>
          <w:sz w:val="24"/>
          <w:szCs w:val="24"/>
          <w:lang w:val="x-none" w:eastAsia="ru-RU"/>
        </w:rPr>
        <w:t>_  от</w:t>
      </w:r>
      <w:proofErr w:type="gramEnd"/>
      <w:r w:rsidRPr="00E7233A">
        <w:rPr>
          <w:rFonts w:ascii="Times New Roman" w:eastAsia="Arial Unicode MS" w:hAnsi="Times New Roman" w:cs="Times New Roman"/>
          <w:color w:val="000000"/>
          <w:sz w:val="24"/>
          <w:szCs w:val="24"/>
          <w:lang w:val="x-none" w:eastAsia="ru-RU"/>
        </w:rPr>
        <w:t xml:space="preserve">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BCA"/>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05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B53"/>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rp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4</cp:revision>
  <dcterms:created xsi:type="dcterms:W3CDTF">2021-10-22T15:55:00Z</dcterms:created>
  <dcterms:modified xsi:type="dcterms:W3CDTF">2021-10-25T06:16:00Z</dcterms:modified>
</cp:coreProperties>
</file>